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E61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14:paraId="7101F30C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72D5FBF5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январь</w:t>
      </w:r>
      <w:r w:rsidRPr="0010550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3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14:paraId="162FD5BA" w14:textId="77777777"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426ED74" w14:textId="77777777"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14:paraId="24704D6A" w14:textId="77777777"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3569FEC" w14:textId="77777777"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14:paraId="2D41CDFE" w14:textId="77777777"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50885806" w14:textId="77777777"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14:paraId="19A5B45A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5048FD4" w14:textId="77777777"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назад так и 20, </w:t>
      </w:r>
      <w:proofErr w:type="gramStart"/>
      <w:r w:rsidRPr="002E2C37">
        <w:rPr>
          <w:rFonts w:ascii="Times New Roman" w:hAnsi="Times New Roman"/>
          <w:sz w:val="30"/>
          <w:szCs w:val="30"/>
        </w:rPr>
        <w:t>однако  в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14:paraId="1B0E7529" w14:textId="77777777"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4B161C4" w14:textId="77777777"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14:paraId="740054B2" w14:textId="77777777"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14:paraId="4BBE2F38" w14:textId="77777777"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14:paraId="5A26493D" w14:textId="77777777"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lastRenderedPageBreak/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14:paraId="09D49775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3BC3255E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487D5406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0B0D51F5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190DED70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14:paraId="465A9577" w14:textId="77777777"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14:paraId="1C24BD6A" w14:textId="77777777"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14:paraId="4883546A" w14:textId="77777777"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14:paraId="714A363B" w14:textId="77777777"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14:paraId="470F5976" w14:textId="77777777"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</w:r>
      <w:r w:rsidRPr="002E3690">
        <w:rPr>
          <w:sz w:val="30"/>
          <w:szCs w:val="30"/>
        </w:rPr>
        <w:lastRenderedPageBreak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14:paraId="32E7F097" w14:textId="77777777"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14:paraId="070599D7" w14:textId="77777777"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7CEB7D6E" w14:textId="77777777"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14:paraId="7137EB3B" w14:textId="77777777"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09482375" w14:textId="77777777"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14:paraId="2F84FE12" w14:textId="77777777"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сексуального характера, развратные действия в отношении мальчиков  от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14:paraId="1C13C5B8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14:paraId="3D94DAC4" w14:textId="77777777"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14:paraId="12997084" w14:textId="77777777"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14:paraId="237E2D3B" w14:textId="77777777"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14:paraId="3A99E988" w14:textId="77777777"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lastRenderedPageBreak/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3DA0C99E" w14:textId="77777777"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Ошмянском районе в ходе посещения ГУО «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Новоселковский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 xml:space="preserve">сотрудниками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ГНиПТЛ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КМ и УИМ Ошмянского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>в отношении фигуранта Ошмянским РОСК возбуждены уголовные дела по ст. 166 УК.</w:t>
      </w:r>
    </w:p>
    <w:p w14:paraId="5C63899D" w14:textId="77777777"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14:paraId="71A3365B" w14:textId="77777777"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фейковую страницу и вступают в диалог. </w:t>
      </w:r>
      <w:r w:rsidRPr="009D13C8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«груминг»,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proofErr w:type="spellStart"/>
      <w:r w:rsidRPr="009D13C8">
        <w:rPr>
          <w:bCs/>
          <w:i/>
          <w:sz w:val="30"/>
          <w:szCs w:val="30"/>
        </w:rPr>
        <w:t>справочно</w:t>
      </w:r>
      <w:proofErr w:type="spellEnd"/>
      <w:r w:rsidRPr="009D13C8">
        <w:rPr>
          <w:bCs/>
          <w:i/>
          <w:sz w:val="30"/>
          <w:szCs w:val="30"/>
        </w:rPr>
        <w:t xml:space="preserve">: груминг </w:t>
      </w:r>
      <w:proofErr w:type="gramStart"/>
      <w:r w:rsidRPr="009D13C8">
        <w:rPr>
          <w:bCs/>
          <w:i/>
          <w:sz w:val="30"/>
          <w:szCs w:val="30"/>
        </w:rPr>
        <w:t>- это</w:t>
      </w:r>
      <w:proofErr w:type="gramEnd"/>
      <w:r w:rsidRPr="009D13C8">
        <w:rPr>
          <w:bCs/>
          <w:i/>
          <w:sz w:val="30"/>
          <w:szCs w:val="30"/>
        </w:rPr>
        <w:t xml:space="preserve">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14:paraId="1D693799" w14:textId="77777777"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r w:rsidRPr="005E56E9">
        <w:rPr>
          <w:i/>
          <w:sz w:val="30"/>
          <w:szCs w:val="30"/>
        </w:rPr>
        <w:t>К примеру, в августе 2022 года управлением по наркоконтролю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</w:t>
      </w:r>
      <w:r w:rsidR="00A563E8">
        <w:rPr>
          <w:bCs/>
          <w:i/>
          <w:sz w:val="30"/>
          <w:szCs w:val="30"/>
        </w:rPr>
        <w:lastRenderedPageBreak/>
        <w:t>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 и детальное изучение сотрудниками милиции аккаунта фигуранта. В настоящее время установлено 6 пострадавших девочек.</w:t>
      </w:r>
    </w:p>
    <w:p w14:paraId="6886A9D8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14:paraId="112EA554" w14:textId="77777777"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</w:t>
      </w:r>
      <w:proofErr w:type="spellStart"/>
      <w:r w:rsidRPr="005E56E9">
        <w:rPr>
          <w:rFonts w:ascii="Times New Roman" w:hAnsi="Times New Roman"/>
          <w:i/>
          <w:sz w:val="30"/>
          <w:szCs w:val="30"/>
        </w:rPr>
        <w:t>Телеграм</w:t>
      </w:r>
      <w:proofErr w:type="spellEnd"/>
      <w:r w:rsidRPr="005E56E9">
        <w:rPr>
          <w:rFonts w:ascii="Times New Roman" w:hAnsi="Times New Roman"/>
          <w:i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14:paraId="45894388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14:paraId="3DF0A534" w14:textId="77777777"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14:paraId="53FE8BD7" w14:textId="77777777"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</w:t>
      </w:r>
      <w:r w:rsidRPr="009D13C8">
        <w:rPr>
          <w:rFonts w:ascii="Times New Roman" w:hAnsi="Times New Roman"/>
          <w:sz w:val="30"/>
          <w:szCs w:val="30"/>
        </w:rPr>
        <w:lastRenderedPageBreak/>
        <w:t xml:space="preserve">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14:paraId="674789AD" w14:textId="77777777"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14:paraId="3E799222" w14:textId="77777777"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14:paraId="58E7E57C" w14:textId="77777777"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14:paraId="535BBCA8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14:paraId="0161677B" w14:textId="77777777"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>Так, в текущем году сотрудниками милиции задержан 35 летний  житель Островецкого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Однако, должных превентивных мероприятий </w:t>
      </w:r>
      <w:proofErr w:type="gramStart"/>
      <w:r w:rsidRPr="007E3546">
        <w:rPr>
          <w:rFonts w:ascii="Times New Roman" w:hAnsi="Times New Roman"/>
          <w:i/>
          <w:sz w:val="30"/>
          <w:szCs w:val="30"/>
        </w:rPr>
        <w:t>с  фигурантом</w:t>
      </w:r>
      <w:proofErr w:type="gramEnd"/>
      <w:r w:rsidRPr="007E3546">
        <w:rPr>
          <w:rFonts w:ascii="Times New Roman" w:hAnsi="Times New Roman"/>
          <w:i/>
          <w:sz w:val="30"/>
          <w:szCs w:val="30"/>
        </w:rPr>
        <w:t xml:space="preserve">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14:paraId="10CB831F" w14:textId="77777777"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14:paraId="6A7200E5" w14:textId="77777777"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lastRenderedPageBreak/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14:paraId="32994538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14:paraId="3D01466B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мессенджерах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14:paraId="74F73EE0" w14:textId="77777777"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1164" w14:textId="77777777" w:rsidR="00652515" w:rsidRDefault="00652515" w:rsidP="0040082A">
      <w:pPr>
        <w:spacing w:after="0" w:line="240" w:lineRule="auto"/>
      </w:pPr>
      <w:r>
        <w:separator/>
      </w:r>
    </w:p>
  </w:endnote>
  <w:endnote w:type="continuationSeparator" w:id="0">
    <w:p w14:paraId="452049BD" w14:textId="77777777" w:rsidR="00652515" w:rsidRDefault="00652515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2978" w14:textId="77777777" w:rsidR="00652515" w:rsidRDefault="00652515" w:rsidP="0040082A">
      <w:pPr>
        <w:spacing w:after="0" w:line="240" w:lineRule="auto"/>
      </w:pPr>
      <w:r>
        <w:separator/>
      </w:r>
    </w:p>
  </w:footnote>
  <w:footnote w:type="continuationSeparator" w:id="0">
    <w:p w14:paraId="732535B3" w14:textId="77777777" w:rsidR="00652515" w:rsidRDefault="00652515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4AE1" w14:textId="77777777"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4A4A65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10787">
    <w:abstractNumId w:val="0"/>
  </w:num>
  <w:num w:numId="2" w16cid:durableId="1657764950">
    <w:abstractNumId w:val="2"/>
  </w:num>
  <w:num w:numId="3" w16cid:durableId="114662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2515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350D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6F378"/>
  <w15:docId w15:val="{1CE3D5EF-BDEC-4ED1-84B5-64209B3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CF9B-1E42-4F61-8D78-5FD0184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Руммо Дарья</cp:lastModifiedBy>
  <cp:revision>2</cp:revision>
  <cp:lastPrinted>2021-11-25T13:13:00Z</cp:lastPrinted>
  <dcterms:created xsi:type="dcterms:W3CDTF">2023-01-16T14:02:00Z</dcterms:created>
  <dcterms:modified xsi:type="dcterms:W3CDTF">2023-01-16T14:02:00Z</dcterms:modified>
</cp:coreProperties>
</file>