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5625" w14:textId="77777777"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9E46A5">
        <w:rPr>
          <w:rFonts w:ascii="Times New Roman" w:hAnsi="Times New Roman"/>
          <w:spacing w:val="0"/>
          <w:sz w:val="30"/>
          <w:szCs w:val="30"/>
          <w:lang w:eastAsia="ru-RU"/>
        </w:rPr>
        <w:t>МАТЕРИАЛЫ</w:t>
      </w:r>
    </w:p>
    <w:p w14:paraId="6278944B" w14:textId="77777777"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9E46A5">
        <w:rPr>
          <w:rFonts w:ascii="Times New Roman" w:hAnsi="Times New Roman"/>
          <w:spacing w:val="0"/>
          <w:sz w:val="30"/>
          <w:szCs w:val="30"/>
          <w:lang w:eastAsia="ru-RU"/>
        </w:rPr>
        <w:t>для членов информационно-пропагандистских групп</w:t>
      </w:r>
    </w:p>
    <w:p w14:paraId="46DDECB1" w14:textId="77777777" w:rsidR="009E46A5" w:rsidRPr="009E46A5" w:rsidRDefault="009E46A5" w:rsidP="009E46A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9E46A5">
        <w:rPr>
          <w:rFonts w:ascii="Times New Roman" w:hAnsi="Times New Roman"/>
          <w:spacing w:val="0"/>
          <w:sz w:val="30"/>
          <w:szCs w:val="30"/>
          <w:lang w:eastAsia="ru-RU"/>
        </w:rPr>
        <w:t>(февраль 2023 г.)</w:t>
      </w:r>
    </w:p>
    <w:p w14:paraId="4ACE2E46" w14:textId="77777777" w:rsidR="009E46A5" w:rsidRPr="009E46A5" w:rsidRDefault="009E46A5" w:rsidP="009E46A5">
      <w:pPr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62D20374" w14:textId="77777777" w:rsidR="009E46A5" w:rsidRPr="009E46A5" w:rsidRDefault="009E46A5" w:rsidP="00E35C67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b/>
          <w:spacing w:val="0"/>
          <w:sz w:val="30"/>
          <w:szCs w:val="30"/>
          <w:lang w:eastAsia="ru-RU"/>
        </w:rPr>
      </w:pPr>
      <w:r w:rsidRPr="009E46A5">
        <w:rPr>
          <w:rFonts w:ascii="Times New Roman" w:eastAsia="Calibri" w:hAnsi="Times New Roman"/>
          <w:b/>
          <w:spacing w:val="0"/>
          <w:sz w:val="30"/>
          <w:szCs w:val="30"/>
          <w:lang w:eastAsia="ru-RU"/>
        </w:rPr>
        <w:t xml:space="preserve">ОБ ИТОГАХ СОЦИАЛЬНО-ЭКОНОМИЧЕСКОГО РАЗВИТИЯ ГРОДНЕНСКОЙ ОБЛАСТИ </w:t>
      </w:r>
      <w:r w:rsidRPr="009E46A5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ЗА ЯНВАРЬ – </w:t>
      </w:r>
      <w:r w:rsidR="00E35C67" w:rsidRPr="00E35C67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ДЕКАБРЬ </w:t>
      </w:r>
      <w:r w:rsidRPr="009E46A5">
        <w:rPr>
          <w:rFonts w:ascii="Times New Roman" w:hAnsi="Times New Roman"/>
          <w:b/>
          <w:spacing w:val="0"/>
          <w:sz w:val="30"/>
          <w:szCs w:val="30"/>
          <w:lang w:eastAsia="ru-RU"/>
        </w:rPr>
        <w:t>202</w:t>
      </w:r>
      <w:r w:rsidR="00E35C67">
        <w:rPr>
          <w:rFonts w:ascii="Times New Roman" w:hAnsi="Times New Roman"/>
          <w:b/>
          <w:spacing w:val="0"/>
          <w:sz w:val="30"/>
          <w:szCs w:val="30"/>
          <w:lang w:eastAsia="ru-RU"/>
        </w:rPr>
        <w:t>2</w:t>
      </w:r>
      <w:r w:rsidRPr="009E46A5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 Г. </w:t>
      </w:r>
    </w:p>
    <w:p w14:paraId="2DDB52AE" w14:textId="77777777"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b/>
          <w:spacing w:val="0"/>
          <w:sz w:val="30"/>
          <w:szCs w:val="30"/>
          <w:lang w:val="be-BY" w:eastAsia="ru-RU"/>
        </w:rPr>
      </w:pPr>
    </w:p>
    <w:p w14:paraId="51FFB95F" w14:textId="77777777"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</w:pPr>
      <w:r w:rsidRPr="009E46A5"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  <w:t xml:space="preserve">Материал подготовлен </w:t>
      </w:r>
    </w:p>
    <w:p w14:paraId="5A775B62" w14:textId="77777777"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</w:pPr>
      <w:r w:rsidRPr="009E46A5"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  <w:t>комитетом экономики Гродненского облисполкома</w:t>
      </w:r>
    </w:p>
    <w:p w14:paraId="2FF9B1B1" w14:textId="77777777" w:rsidR="00961999" w:rsidRPr="00400650" w:rsidRDefault="00961999" w:rsidP="00400650">
      <w:pPr>
        <w:widowControl w:val="0"/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14:paraId="1922AD24" w14:textId="77777777" w:rsidR="00400650" w:rsidRPr="00400650" w:rsidRDefault="00400650" w:rsidP="00400650">
      <w:pPr>
        <w:ind w:firstLine="720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 январе – декабре 2022 г. объем валового регионального продукта составил 20,3 млрд. рублей, или 96,6 % к уровню 2021 года (задание на январь – декабрь 2022 г. – 104,8 %), в том числе по видам деятельности: промышленность – 94,7% (удельный вес – 34,4 %), сельское, лесное и рыбное хозяйство – 108,0 % (11,4 %), строительство – 89,9 % (4,7 %), оптовая и розничная торговля; ремонт автомобилей и мотоциклов – 92,9 % (5,8 %), транспортная деятельность, складирование, почтовая и курьерская деятельность – 78,5 % (4,0 %).</w:t>
      </w:r>
    </w:p>
    <w:p w14:paraId="62590FC0" w14:textId="77777777" w:rsidR="00400650" w:rsidRPr="00400650" w:rsidRDefault="00400650" w:rsidP="00400650">
      <w:pPr>
        <w:ind w:firstLine="720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Произведено промышленной продукции на сумму 18,7 млрд. рублей, что составляет в объеме республики 11,0 %.</w:t>
      </w:r>
    </w:p>
    <w:p w14:paraId="0DBE1225" w14:textId="77777777" w:rsidR="00400650" w:rsidRDefault="00400650" w:rsidP="00400650">
      <w:pPr>
        <w:ind w:firstLine="720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Индекс физического объема производства по набору товаров-представителей составил 94,1 % (декабрь 2022 г. к ноябрю 2022 г. – 105,1%), в том числе: обрабатывающая промышленность – 96,4% (удельный вес в общем объеме производства – 90,1%), снабжение электроэнергией, газом, паром, горячей водой и кондиционированным воздухом – 86,8 % (8,3 %), водоснабжение; сбор, обработка и удаление отходов, деятельность по ликвидации загрязнений – 95,0 % (1,5 %), горнодобывающая промышленность – 99,0 % (0,1 %).</w:t>
      </w:r>
    </w:p>
    <w:p w14:paraId="4FCABD4D" w14:textId="77777777" w:rsidR="00400650" w:rsidRPr="00400650" w:rsidRDefault="00400650" w:rsidP="00400650">
      <w:pPr>
        <w:ind w:firstLine="720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На 1 января 2023 г. на складах промышленных предприятий находилось готовой продукции на сумму 1,2 млрд. рублей, удельный вес запасов в среднемесячном объеме производства составил 90,8 % (на 01.01.2022 – 69,2 %). За декабрь 2022 г. запасы готовой продукции снизились на 57,2 млн. рублей (с начала 2022 года выросли на 355,2 млн. рублей).</w:t>
      </w:r>
    </w:p>
    <w:p w14:paraId="2FCD2517" w14:textId="77777777" w:rsidR="00400650" w:rsidRPr="00400650" w:rsidRDefault="00400650" w:rsidP="000F5F3A">
      <w:pPr>
        <w:tabs>
          <w:tab w:val="left" w:pos="3969"/>
        </w:tabs>
        <w:ind w:firstLine="709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За январь – </w:t>
      </w:r>
      <w:r w:rsidR="00BA60E4">
        <w:rPr>
          <w:rFonts w:ascii="Times New Roman" w:hAnsi="Times New Roman"/>
          <w:bCs/>
          <w:spacing w:val="0"/>
          <w:sz w:val="30"/>
          <w:szCs w:val="30"/>
          <w:lang w:eastAsia="ru-RU"/>
        </w:rPr>
        <w:t>декабрь</w:t>
      </w: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 2022 г. произведено импортозамещающей продукции на сумму </w:t>
      </w:r>
      <w:r w:rsidR="000F5F3A">
        <w:rPr>
          <w:rFonts w:ascii="Times New Roman" w:hAnsi="Times New Roman"/>
          <w:bCs/>
          <w:spacing w:val="0"/>
          <w:sz w:val="30"/>
          <w:szCs w:val="30"/>
          <w:lang w:eastAsia="ru-RU"/>
        </w:rPr>
        <w:t>937,8</w:t>
      </w: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 млн. долл. США (план на 2022 год – 914,6 млн. долларов США). На экспорт поставлено продукции на 430,7 млн. долларов США. </w:t>
      </w:r>
    </w:p>
    <w:p w14:paraId="6C14AF55" w14:textId="77777777" w:rsidR="00400650" w:rsidRPr="00400650" w:rsidRDefault="00400650" w:rsidP="00400650">
      <w:pPr>
        <w:ind w:firstLine="709"/>
        <w:contextualSpacing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</w:rPr>
        <w:t>За январь – декабрь 2022 г. объем валовой продукции с</w:t>
      </w:r>
      <w:r w:rsidRPr="00400650">
        <w:rPr>
          <w:rFonts w:ascii="Times New Roman" w:eastAsia="Calibri" w:hAnsi="Times New Roman"/>
          <w:spacing w:val="0"/>
          <w:sz w:val="30"/>
          <w:szCs w:val="30"/>
        </w:rPr>
        <w:t>ельского хозяйства</w:t>
      </w:r>
      <w:r w:rsidRPr="00400650">
        <w:rPr>
          <w:rFonts w:ascii="Times New Roman" w:hAnsi="Times New Roman"/>
          <w:spacing w:val="0"/>
          <w:sz w:val="30"/>
          <w:szCs w:val="30"/>
        </w:rPr>
        <w:t xml:space="preserve"> во всех категориях хозяйств в текущих ценах составил </w:t>
      </w:r>
      <w:r w:rsidRPr="00400650">
        <w:rPr>
          <w:rFonts w:ascii="Times New Roman" w:hAnsi="Times New Roman"/>
          <w:sz w:val="30"/>
          <w:szCs w:val="30"/>
        </w:rPr>
        <w:t>5,6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</w:rPr>
        <w:t xml:space="preserve">млрд. рублей, или 106,9 % </w:t>
      </w:r>
      <w:r w:rsidRPr="00400650">
        <w:rPr>
          <w:rFonts w:ascii="Times New Roman" w:eastAsia="Calibri" w:hAnsi="Times New Roman"/>
          <w:spacing w:val="0"/>
          <w:sz w:val="30"/>
          <w:szCs w:val="30"/>
        </w:rPr>
        <w:t xml:space="preserve">(в сопоставимых ценах) </w:t>
      </w:r>
      <w:r w:rsidRPr="00400650">
        <w:rPr>
          <w:rFonts w:ascii="Times New Roman" w:hAnsi="Times New Roman"/>
          <w:spacing w:val="0"/>
          <w:sz w:val="30"/>
          <w:szCs w:val="30"/>
        </w:rPr>
        <w:t xml:space="preserve">к 2021 году. Сельскохозяйственными организациями, включая крестьянские (фермерские) хозяйства, произведено продукции в текущих ценах на </w:t>
      </w:r>
      <w:r w:rsidRPr="00400650">
        <w:rPr>
          <w:rFonts w:ascii="Times New Roman" w:hAnsi="Times New Roman"/>
          <w:spacing w:val="0"/>
          <w:sz w:val="30"/>
          <w:szCs w:val="30"/>
        </w:rPr>
        <w:lastRenderedPageBreak/>
        <w:t xml:space="preserve">сумму </w:t>
      </w:r>
      <w:r w:rsidRPr="00400650">
        <w:rPr>
          <w:rFonts w:ascii="Times New Roman" w:hAnsi="Times New Roman"/>
          <w:sz w:val="30"/>
          <w:szCs w:val="30"/>
        </w:rPr>
        <w:t xml:space="preserve">4,7 </w:t>
      </w:r>
      <w:r w:rsidRPr="00400650">
        <w:rPr>
          <w:rFonts w:ascii="Times New Roman" w:hAnsi="Times New Roman"/>
          <w:spacing w:val="0"/>
          <w:sz w:val="30"/>
          <w:szCs w:val="30"/>
        </w:rPr>
        <w:t xml:space="preserve">млрд. рублей, или 106,6 %, в том числе продукции животноводства -  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 xml:space="preserve">98,7 % к 2021 году (удельный вес составил 56,5 %), растениеводства - 118,9 % (43,5 %). </w:t>
      </w:r>
    </w:p>
    <w:p w14:paraId="709730C2" w14:textId="77777777" w:rsidR="00400650" w:rsidRPr="00400650" w:rsidRDefault="00400650" w:rsidP="00400650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 2022 году введено в эксплуатацию 477,5</w:t>
      </w: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тыс. кв. метров общей площади жилья (100,5 % от установленного задания). Для граждан, осуществляющих жилищное строительство с государственной поддержкой, сдано 191,1 тыс. кв. метров общей площади жилья (109,2 %).</w:t>
      </w:r>
    </w:p>
    <w:p w14:paraId="73367D6E" w14:textId="77777777" w:rsidR="00400650" w:rsidRPr="00400650" w:rsidRDefault="00400650" w:rsidP="00400650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Введены в эксплуатацию 1347 квартир для 1339 многодетных семей (задание 1071 семья), направлены на улучшение жилищных условий 1224 многодетные семьи (задание 1200 семей).</w:t>
      </w:r>
    </w:p>
    <w:p w14:paraId="0C76E804" w14:textId="77777777" w:rsidR="00400650" w:rsidRPr="00400650" w:rsidRDefault="00400650" w:rsidP="00400650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Ввод в действие индивидуальных жилых домов населением составил 172,8 тыс. кв. метров, или 36,2 % от общего ввода жилья.</w:t>
      </w:r>
    </w:p>
    <w:p w14:paraId="48AF8917" w14:textId="77777777" w:rsidR="00400650" w:rsidRPr="00400650" w:rsidRDefault="00400650" w:rsidP="00400650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 области построены 42 квартиры (2,0 тыс.</w:t>
      </w:r>
      <w:r w:rsidR="00E35C67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кв.</w:t>
      </w:r>
      <w:r w:rsidR="00E35C67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метров) социального пользования, а также 240 арендные квартиры общей площадью 15,8 тыс. кв. метров.</w:t>
      </w:r>
    </w:p>
    <w:p w14:paraId="112B1492" w14:textId="77777777" w:rsidR="00400650" w:rsidRPr="00400650" w:rsidRDefault="00400650" w:rsidP="00400650">
      <w:pPr>
        <w:widowControl w:val="0"/>
        <w:suppressAutoHyphens/>
        <w:autoSpaceDE w:val="0"/>
        <w:ind w:firstLine="709"/>
        <w:rPr>
          <w:rFonts w:ascii="Times New Roman" w:hAnsi="Times New Roman"/>
          <w:spacing w:val="0"/>
          <w:sz w:val="30"/>
          <w:szCs w:val="30"/>
          <w:lang w:eastAsia="zh-CN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В целом за отчетный период построено 294,9 тыс. кв. метров энергоэффективного жилья (100% введенного в эксплуатацию многоквартирного жилья).</w:t>
      </w:r>
    </w:p>
    <w:p w14:paraId="3CC0D704" w14:textId="77777777" w:rsidR="00400650" w:rsidRPr="00400650" w:rsidRDefault="00400650" w:rsidP="00400650">
      <w:pPr>
        <w:widowControl w:val="0"/>
        <w:suppressAutoHyphens/>
        <w:autoSpaceDE w:val="0"/>
        <w:ind w:firstLine="709"/>
        <w:rPr>
          <w:rFonts w:ascii="Times New Roman" w:hAnsi="Times New Roman"/>
          <w:spacing w:val="0"/>
          <w:sz w:val="30"/>
          <w:szCs w:val="30"/>
          <w:lang w:eastAsia="zh-CN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В городе-спутнике Скиделе введено в эксплуатацию 5,7 тыс.</w:t>
      </w:r>
      <w:r w:rsidR="00E35C67">
        <w:rPr>
          <w:rFonts w:ascii="Times New Roman" w:hAnsi="Times New Roman"/>
          <w:spacing w:val="0"/>
          <w:sz w:val="30"/>
          <w:szCs w:val="30"/>
          <w:lang w:eastAsia="zh-CN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кв.</w:t>
      </w:r>
      <w:r w:rsidR="00E35C67">
        <w:rPr>
          <w:rFonts w:ascii="Times New Roman" w:hAnsi="Times New Roman"/>
          <w:spacing w:val="0"/>
          <w:sz w:val="30"/>
          <w:szCs w:val="30"/>
          <w:lang w:eastAsia="zh-CN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метров жилья (план – 1,2 тыс.кв.метров).</w:t>
      </w:r>
    </w:p>
    <w:p w14:paraId="4D059436" w14:textId="77777777" w:rsidR="00400650" w:rsidRPr="00400650" w:rsidRDefault="00400650" w:rsidP="00400650">
      <w:pPr>
        <w:widowControl w:val="0"/>
        <w:suppressAutoHyphens/>
        <w:ind w:firstLine="708"/>
        <w:rPr>
          <w:rFonts w:ascii="Times New Roman" w:hAnsi="Times New Roman"/>
          <w:spacing w:val="0"/>
          <w:sz w:val="30"/>
          <w:szCs w:val="30"/>
          <w:lang w:eastAsia="zh-CN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На жилищное строительство направлено 600,2 млн. рублей.</w:t>
      </w:r>
    </w:p>
    <w:p w14:paraId="6A13BAB3" w14:textId="77777777" w:rsidR="00400650" w:rsidRPr="00400650" w:rsidRDefault="00400650" w:rsidP="00400650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Розничный товарооборот торговли через все каналы реализации за январь – 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декабрь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2022 г. составил 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6,7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млрд. рублей, или 9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8,2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% к уровню января – 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декабря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2021 г. </w:t>
      </w:r>
    </w:p>
    <w:p w14:paraId="11EE5220" w14:textId="77777777" w:rsidR="00400650" w:rsidRPr="00400650" w:rsidRDefault="000F5F3A" w:rsidP="00400650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</w:pPr>
      <w:r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К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оличество торговых объектов увеличилось на 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502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и составило 128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14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объекта (магазинов – на 2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47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единиц, общее количество – 64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16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), торговая площадь увеличилась на 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40,7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тыс. кв. м и составила 73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9,1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тыс. кв. м.</w:t>
      </w:r>
    </w:p>
    <w:p w14:paraId="7ED15B14" w14:textId="77777777" w:rsidR="00400650" w:rsidRPr="00400650" w:rsidRDefault="000F5F3A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>О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бъем инвестиций в основной капитал по области составил 3,4 млрд. рублей, или 84,2 % к уровню января – декабря 2021 г.</w:t>
      </w:r>
    </w:p>
    <w:p w14:paraId="40A01D14" w14:textId="77777777"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Технологическая структура инвестиций в основной капитал:</w:t>
      </w:r>
    </w:p>
    <w:p w14:paraId="59886A32" w14:textId="77777777"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строительно-монтажные работы (включая работы по монтажу оборудования) – удельный вес 53,0 % (1,8 млрд. рублей, или 80,0 %);</w:t>
      </w:r>
    </w:p>
    <w:p w14:paraId="615EE983" w14:textId="77777777"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затраты на приобретение машин оборудования, транспортных средств – удельный вес 33,6 % (1,1 млрд. рублей, 88,3 %);</w:t>
      </w:r>
    </w:p>
    <w:p w14:paraId="11312F45" w14:textId="77777777"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прочие затраты – удельный вес 13,4 % (0,5 млрд. рублей).</w:t>
      </w:r>
    </w:p>
    <w:p w14:paraId="26EF1407" w14:textId="77777777"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На показатели инвестиционной деятельности области продолжает оказывать значительное влияние завершение инвестиционного проекта по строительству атомной электростанции. За январь – декабрь 2022 г. удельный вес инвестиций в основной капитал по РУП «Белорусская </w:t>
      </w: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lastRenderedPageBreak/>
        <w:t>атомная электростанция» составил 16,8 % от общего объема инвестиций области (62,6 % к январю – декабрю 2021 г.).</w:t>
      </w:r>
    </w:p>
    <w:p w14:paraId="3CE01F98" w14:textId="77777777"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Продолжается реализация крупных инвестиционных проектов по строительству деревообрабатывающего завода «Свислочь» </w:t>
      </w:r>
      <w:r w:rsidR="00E35C67">
        <w:rPr>
          <w:rFonts w:ascii="Times New Roman" w:eastAsia="Calibri" w:hAnsi="Times New Roman"/>
          <w:spacing w:val="0"/>
          <w:sz w:val="30"/>
          <w:szCs w:val="30"/>
          <w:lang w:eastAsia="ru-RU"/>
        </w:rPr>
        <w:br/>
      </w: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(ООО «ЭйчЭсБелакон»), созданию производства стеклянной тары с использованием инновационных энергоэффективных и ресурсосберегающих технологий (ОАО «Гродненский стеклозавод»), организации производства и последующей эксплуатации производственного завода Кроноспан в городе Сморгони (Группа компаний Кроноспан), созданию вертикально-интегрированного комплекса по производству хлопковой пряжи и изделий из нее </w:t>
      </w:r>
      <w:r w:rsidR="00E35C67">
        <w:rPr>
          <w:rFonts w:ascii="Times New Roman" w:eastAsia="Calibri" w:hAnsi="Times New Roman"/>
          <w:spacing w:val="0"/>
          <w:sz w:val="30"/>
          <w:szCs w:val="30"/>
          <w:lang w:eastAsia="ru-RU"/>
        </w:rPr>
        <w:br/>
      </w: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(ООО «Европластекс Инвест»).</w:t>
      </w:r>
    </w:p>
    <w:p w14:paraId="7D28D5E5" w14:textId="77777777"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В январе – ноябре 2022 г. экспорт товаров составил 3,0 млрд. долларов США, или 94,5 % к уровню соответствующего периода 2021 года. Сальдо внешней торговли товарами к уровню января – ноября      2021 г. сложилось положительным в размере 1,5 млрд. долларов США.</w:t>
      </w:r>
    </w:p>
    <w:p w14:paraId="22A29D91" w14:textId="77777777"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Основными покупателями гродненских товаров являются 5 стран, на долю которых приходится 75,3 % всего экспорта товаров (Россия – 55,8%, Польша – 6,9%, Дания – 4,4%, Украина – 4,4%, Литва – 3,8%).</w:t>
      </w:r>
    </w:p>
    <w:p w14:paraId="53838264" w14:textId="77777777"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Российская Федерация является ключевым торговым партнером области. В январе-ноябре 2022 г. экспорт товаров в Российскую Федерацию увеличился на 23,9 млн. долларов США, или на 1,5 п.п., и составил 1,7 млрд. долларов США.</w:t>
      </w:r>
    </w:p>
    <w:p w14:paraId="772E1170" w14:textId="77777777"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Экспорт в Европейский союз составил 634,0 млн. долларов США, темп роста – 86,4%.</w:t>
      </w:r>
      <w:r w:rsidR="0072584E">
        <w:rPr>
          <w:rFonts w:ascii="Times New Roman" w:eastAsia="Calibri" w:hAnsi="Times New Roman"/>
          <w:spacing w:val="0"/>
          <w:sz w:val="30"/>
          <w:szCs w:val="22"/>
        </w:rPr>
        <w:t xml:space="preserve"> </w:t>
      </w:r>
      <w:r w:rsidRPr="00400650">
        <w:rPr>
          <w:rFonts w:ascii="Times New Roman" w:eastAsia="Calibri" w:hAnsi="Times New Roman"/>
          <w:spacing w:val="0"/>
          <w:sz w:val="30"/>
          <w:szCs w:val="22"/>
        </w:rPr>
        <w:t>Наибольший удельный вес в экспорте из стран ЕС приходился на Польшу (32,3%), Данию (20,8%), Литву (18,1 %), Латвию (6,3%).</w:t>
      </w:r>
    </w:p>
    <w:p w14:paraId="3D5FF118" w14:textId="77777777"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Обеспечена положительная динамика экспорта товаров в прочие страны: Норвегию (100,3 млн. долларов США, увеличение в 11,0 раз), Китай (75,8 млн. долларов США, темп роста – 121,0 %), Турцию (58,0 млн. долларов США, темп роста – 190,3 %).</w:t>
      </w:r>
    </w:p>
    <w:p w14:paraId="24B105DB" w14:textId="77777777"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В январе – ноябре 2022 г. экспорт услуг составил 276,0 млн. долларов США, или 104,3% к уровню января-ноября 2021 г., импорт услуг – 422,0 млн. долларов США, или 96,2%. Сальдо внешней торговли услугами сложилось отрицательным в размере «минус» 146,0 млн.</w:t>
      </w:r>
      <w:r w:rsidR="00E35C67">
        <w:rPr>
          <w:rFonts w:ascii="Times New Roman" w:eastAsia="Calibri" w:hAnsi="Times New Roman"/>
          <w:spacing w:val="0"/>
          <w:sz w:val="30"/>
          <w:szCs w:val="22"/>
        </w:rPr>
        <w:t xml:space="preserve"> </w:t>
      </w:r>
      <w:r w:rsidRPr="00400650">
        <w:rPr>
          <w:rFonts w:ascii="Times New Roman" w:eastAsia="Calibri" w:hAnsi="Times New Roman"/>
          <w:spacing w:val="0"/>
          <w:sz w:val="30"/>
          <w:szCs w:val="22"/>
        </w:rPr>
        <w:t>долл.</w:t>
      </w:r>
      <w:r w:rsidR="00E35C67">
        <w:rPr>
          <w:rFonts w:ascii="Times New Roman" w:eastAsia="Calibri" w:hAnsi="Times New Roman"/>
          <w:spacing w:val="0"/>
          <w:sz w:val="30"/>
          <w:szCs w:val="22"/>
        </w:rPr>
        <w:t xml:space="preserve"> </w:t>
      </w:r>
      <w:r w:rsidRPr="00400650">
        <w:rPr>
          <w:rFonts w:ascii="Times New Roman" w:eastAsia="Calibri" w:hAnsi="Times New Roman"/>
          <w:spacing w:val="0"/>
          <w:sz w:val="30"/>
          <w:szCs w:val="22"/>
        </w:rPr>
        <w:t xml:space="preserve">США и увеличилось относительно уровня января – ноября  2021 г. на </w:t>
      </w:r>
      <w:r w:rsidR="00E35C67">
        <w:rPr>
          <w:rFonts w:ascii="Times New Roman" w:eastAsia="Calibri" w:hAnsi="Times New Roman"/>
          <w:spacing w:val="0"/>
          <w:sz w:val="30"/>
          <w:szCs w:val="22"/>
        </w:rPr>
        <w:br/>
      </w:r>
      <w:r w:rsidRPr="00400650">
        <w:rPr>
          <w:rFonts w:ascii="Times New Roman" w:eastAsia="Calibri" w:hAnsi="Times New Roman"/>
          <w:spacing w:val="0"/>
          <w:sz w:val="30"/>
          <w:szCs w:val="22"/>
        </w:rPr>
        <w:t xml:space="preserve">28,1 млн. долларов США. </w:t>
      </w:r>
    </w:p>
    <w:p w14:paraId="363A57C2" w14:textId="77777777"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Достигнута положительная динамика по следующим видам услуг:</w:t>
      </w:r>
    </w:p>
    <w:p w14:paraId="774585F7" w14:textId="77777777"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транспортным – 150,9 млн. долларов США, или 103,2% к уровню января-ноября 2021 г. (удельный вес – 54,7%);</w:t>
      </w:r>
    </w:p>
    <w:p w14:paraId="4131426D" w14:textId="77777777"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lastRenderedPageBreak/>
        <w:t>компьютерным, телекоммуникационным и информационным – 50,0 млн. долларов США, или 119,1 % (18,1%);</w:t>
      </w:r>
    </w:p>
    <w:p w14:paraId="19CE2671" w14:textId="77777777"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туристическим – 11,9 млн. долларов США, или 185,8% (4,3%);</w:t>
      </w:r>
    </w:p>
    <w:p w14:paraId="14A58489" w14:textId="77777777"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медицинским – 2,7 млн. долларов США, или 123,2% (1,0%).</w:t>
      </w:r>
    </w:p>
    <w:p w14:paraId="2CDA3A30" w14:textId="77777777"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На пять стран приходится около 82% экспорта услуг области: Россия (удельный вес – 56,4%), Польша (11,5%), Литва (5,6%), США (4,8%) и Германия (3,5%).</w:t>
      </w:r>
    </w:p>
    <w:p w14:paraId="4AF702AD" w14:textId="77777777" w:rsidR="00400650" w:rsidRPr="00400650" w:rsidRDefault="00400650" w:rsidP="00400650">
      <w:pPr>
        <w:tabs>
          <w:tab w:val="left" w:pos="142"/>
          <w:tab w:val="left" w:pos="1065"/>
        </w:tabs>
        <w:ind w:firstLine="720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Выручка от реализации продукции, товаров, работ, услуг за январь – ноябрь 2022 г. в целом по области составила 28,0 млрд. рублей, или 108,3% к январю – ноябрю 2021 г.</w:t>
      </w:r>
    </w:p>
    <w:p w14:paraId="012E8C61" w14:textId="77777777" w:rsidR="00400650" w:rsidRPr="00400650" w:rsidRDefault="00400650" w:rsidP="00400650">
      <w:pPr>
        <w:tabs>
          <w:tab w:val="left" w:pos="142"/>
          <w:tab w:val="left" w:pos="1065"/>
        </w:tabs>
        <w:ind w:firstLine="720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Рентабельность продаж увеличилась по сравнению с январем – ноябрем 2021 г. на 0,3 п.п. и составила 10,5 %, в том числе в организациях: сельского, лесного и рыбного хозяйства – на 2,8 п.п. и 13,8%, строительства – на 1,3 п.п. и 6,0 %, торговли – на 1,2 п.п. и 2,4 %, транспорта – на 1,3 п.п. и 2,3 %, соответственно. Снизилась рентабельность продаж в организациях промышленности на 0,5 п.п. и составила 12,7 %.</w:t>
      </w:r>
    </w:p>
    <w:p w14:paraId="71CC1D6F" w14:textId="77777777" w:rsidR="00400650" w:rsidRPr="00400650" w:rsidRDefault="00400650" w:rsidP="00400650">
      <w:pPr>
        <w:tabs>
          <w:tab w:val="left" w:pos="142"/>
          <w:tab w:val="left" w:pos="1065"/>
        </w:tabs>
        <w:ind w:firstLine="720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Количество убыточных организаций составило 71 и снизилось к январю – ноябрю 2021 г. на 18 организаций, удельный вес убыточных организаций – 11,0 % от их общего количества, сумма убытка – 294,2 млн. рублей. Снижено количество убыточных организаций в транспорте с </w:t>
      </w:r>
      <w:r w:rsidR="00E35C67">
        <w:rPr>
          <w:rFonts w:ascii="Times New Roman" w:hAnsi="Times New Roman"/>
          <w:bCs/>
          <w:spacing w:val="0"/>
          <w:sz w:val="30"/>
          <w:szCs w:val="30"/>
          <w:lang w:eastAsia="ru-RU"/>
        </w:rPr>
        <w:br/>
      </w: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18 до 11, промышленности – с 25 до 20, сельском хозяйстве – с 8 до 4.</w:t>
      </w:r>
    </w:p>
    <w:p w14:paraId="3E920E02" w14:textId="77777777"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</w:rPr>
        <w:t>В области на постоянной основе принимаются необходимые меры по обеспечению эффективной занятости населения, стабильной ситуации в трудовых коллективах.</w:t>
      </w:r>
    </w:p>
    <w:p w14:paraId="04302A49" w14:textId="77777777" w:rsidR="00400650" w:rsidRPr="00400650" w:rsidRDefault="00400650" w:rsidP="00400650">
      <w:pPr>
        <w:tabs>
          <w:tab w:val="left" w:pos="142"/>
          <w:tab w:val="left" w:pos="1065"/>
        </w:tabs>
        <w:ind w:firstLine="720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Уровень безработицы на 1 января 2023 г. составил 0,2 % к численности экономически активного населения. </w:t>
      </w:r>
    </w:p>
    <w:p w14:paraId="46D2F7E7" w14:textId="77777777" w:rsidR="000F5F3A" w:rsidRPr="000F5F3A" w:rsidRDefault="000F5F3A" w:rsidP="000F5F3A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В режиме вынужденной неполной занятости в 2022 году работали 8,5 тыс. человек (2,7 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 от списочной численности работников), что на 12,4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 меньше, чем в 2021 году (9,7 тыс. работников, или 3,0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>).</w:t>
      </w:r>
    </w:p>
    <w:p w14:paraId="267D3A67" w14:textId="77777777" w:rsidR="000F5F3A" w:rsidRPr="000F5F3A" w:rsidRDefault="00400650" w:rsidP="000F5F3A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</w:rPr>
        <w:t xml:space="preserve">Отмечается снижение увольнения работников в случае ликвидации организации, сокращения численности или штата работников. </w:t>
      </w:r>
      <w:r w:rsidR="000F5F3A" w:rsidRPr="000F5F3A">
        <w:rPr>
          <w:rFonts w:ascii="Times New Roman" w:eastAsia="Calibri" w:hAnsi="Times New Roman"/>
          <w:spacing w:val="0"/>
          <w:sz w:val="30"/>
          <w:szCs w:val="30"/>
        </w:rPr>
        <w:t xml:space="preserve">За 2022 год по данным причинам уволено 0,8 тыс. человек, что </w:t>
      </w:r>
      <w:r w:rsidR="00057B6F">
        <w:rPr>
          <w:rFonts w:ascii="Times New Roman" w:eastAsia="Calibri" w:hAnsi="Times New Roman"/>
          <w:spacing w:val="0"/>
          <w:sz w:val="30"/>
          <w:szCs w:val="30"/>
        </w:rPr>
        <w:t>в 2 раза</w:t>
      </w:r>
      <w:r w:rsidR="000F5F3A" w:rsidRPr="000F5F3A">
        <w:rPr>
          <w:rFonts w:ascii="Times New Roman" w:eastAsia="Calibri" w:hAnsi="Times New Roman"/>
          <w:spacing w:val="0"/>
          <w:sz w:val="30"/>
          <w:szCs w:val="30"/>
        </w:rPr>
        <w:t xml:space="preserve"> меньше, чем в 2021 году (1,6 тыс. человек).</w:t>
      </w:r>
    </w:p>
    <w:p w14:paraId="2D3640F5" w14:textId="77777777" w:rsidR="000F5F3A" w:rsidRDefault="000F5F3A" w:rsidP="000F5F3A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0F5F3A">
        <w:rPr>
          <w:rFonts w:ascii="Times New Roman" w:eastAsia="Calibri" w:hAnsi="Times New Roman"/>
          <w:spacing w:val="0"/>
          <w:sz w:val="30"/>
          <w:szCs w:val="30"/>
        </w:rPr>
        <w:t>В экономике области в январе-декабре 2022 г. было занято 447,3 тыс. человек, что на 7,0 тыс. человек, или на 1,5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, меньше, чем в январе-декабре 2021 г. </w:t>
      </w:r>
    </w:p>
    <w:p w14:paraId="1566D20B" w14:textId="77777777" w:rsidR="000F5F3A" w:rsidRPr="000F5F3A" w:rsidRDefault="000F5F3A" w:rsidP="000F5F3A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За январь-декабрь 2022 г. номинальная начисленная среднемесячная заработная плата в целом по области выросла на 16,5 </w:t>
      </w:r>
      <w:r w:rsidR="0072584E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 к уровню </w:t>
      </w:r>
      <w:r w:rsidR="00E35C67">
        <w:rPr>
          <w:rFonts w:ascii="Times New Roman" w:eastAsia="Calibri" w:hAnsi="Times New Roman"/>
          <w:spacing w:val="0"/>
          <w:sz w:val="30"/>
          <w:szCs w:val="30"/>
        </w:rPr>
        <w:br/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>2021 года и достигла 1437,7 рубля. Показатель по росту заработной платы за 2022 год выполнен на 106,6</w:t>
      </w:r>
      <w:r w:rsidR="0072584E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>.</w:t>
      </w:r>
    </w:p>
    <w:p w14:paraId="2494BE13" w14:textId="77777777" w:rsidR="001C4F47" w:rsidRDefault="007E5149" w:rsidP="007E5149">
      <w:pPr>
        <w:ind w:firstLine="708"/>
        <w:rPr>
          <w:rFonts w:ascii="Times New Roman" w:hAnsi="Times New Roman"/>
          <w:color w:val="FFFFFF" w:themeColor="background1"/>
          <w:sz w:val="30"/>
          <w:szCs w:val="30"/>
        </w:rPr>
      </w:pPr>
      <w:r>
        <w:rPr>
          <w:rFonts w:ascii="Times New Roman" w:eastAsia="Calibri" w:hAnsi="Times New Roman"/>
          <w:spacing w:val="0"/>
          <w:sz w:val="30"/>
          <w:szCs w:val="30"/>
        </w:rPr>
        <w:lastRenderedPageBreak/>
        <w:t>Темп р</w:t>
      </w:r>
      <w:r w:rsidR="00112B26" w:rsidRPr="00112B26">
        <w:rPr>
          <w:rFonts w:ascii="Times New Roman" w:eastAsia="Calibri" w:hAnsi="Times New Roman"/>
          <w:spacing w:val="0"/>
          <w:sz w:val="30"/>
          <w:szCs w:val="30"/>
        </w:rPr>
        <w:t>ост</w:t>
      </w:r>
      <w:r>
        <w:rPr>
          <w:rFonts w:ascii="Times New Roman" w:eastAsia="Calibri" w:hAnsi="Times New Roman"/>
          <w:spacing w:val="0"/>
          <w:sz w:val="30"/>
          <w:szCs w:val="30"/>
        </w:rPr>
        <w:t>а</w:t>
      </w:r>
      <w:r w:rsidR="00112B26" w:rsidRPr="00112B26">
        <w:rPr>
          <w:rFonts w:ascii="Times New Roman" w:eastAsia="Calibri" w:hAnsi="Times New Roman"/>
          <w:spacing w:val="0"/>
          <w:sz w:val="30"/>
          <w:szCs w:val="30"/>
        </w:rPr>
        <w:t xml:space="preserve"> реальной заработной платы в целом по области </w:t>
      </w:r>
      <w:r>
        <w:rPr>
          <w:rFonts w:ascii="Times New Roman" w:eastAsia="Calibri" w:hAnsi="Times New Roman"/>
          <w:spacing w:val="0"/>
          <w:sz w:val="30"/>
          <w:szCs w:val="30"/>
        </w:rPr>
        <w:t>составил</w:t>
      </w:r>
      <w:r w:rsidR="00112B26" w:rsidRPr="00112B26">
        <w:rPr>
          <w:rFonts w:ascii="Times New Roman" w:eastAsia="Calibri" w:hAnsi="Times New Roman"/>
          <w:spacing w:val="0"/>
          <w:sz w:val="30"/>
          <w:szCs w:val="30"/>
        </w:rPr>
        <w:t xml:space="preserve"> 101,1</w:t>
      </w:r>
      <w:r w:rsidR="00057B6F">
        <w:rPr>
          <w:rFonts w:ascii="Times New Roman" w:eastAsia="Calibri" w:hAnsi="Times New Roman"/>
          <w:spacing w:val="0"/>
          <w:sz w:val="30"/>
          <w:szCs w:val="30"/>
        </w:rPr>
        <w:t>%</w:t>
      </w:r>
      <w:r w:rsidR="00112B26" w:rsidRPr="00112B26">
        <w:rPr>
          <w:rFonts w:ascii="Times New Roman" w:eastAsia="Calibri" w:hAnsi="Times New Roman"/>
          <w:spacing w:val="0"/>
          <w:sz w:val="30"/>
          <w:szCs w:val="30"/>
        </w:rPr>
        <w:t xml:space="preserve"> к январю-декабрю 2021 г. </w:t>
      </w:r>
      <w:r w:rsidR="00416E13" w:rsidRPr="00C4290C">
        <w:rPr>
          <w:rFonts w:ascii="Times New Roman" w:hAnsi="Times New Roman"/>
          <w:color w:val="FFFFFF" w:themeColor="background1"/>
          <w:sz w:val="30"/>
          <w:szCs w:val="30"/>
        </w:rPr>
        <w:t xml:space="preserve"> председателя </w:t>
      </w:r>
    </w:p>
    <w:p w14:paraId="794C9CB7" w14:textId="77777777" w:rsidR="00112B26" w:rsidRPr="00112B26" w:rsidRDefault="00112B26" w:rsidP="00112B26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112B26">
        <w:rPr>
          <w:rFonts w:ascii="Times New Roman" w:eastAsia="Calibri" w:hAnsi="Times New Roman"/>
          <w:spacing w:val="0"/>
          <w:sz w:val="30"/>
          <w:szCs w:val="30"/>
        </w:rPr>
        <w:t>По видам экономической деятельности реальная заработная плата за 2022 год по всем отраслям превысила 100,0 процентов к 2021 году, за исключением строитель</w:t>
      </w:r>
      <w:r w:rsidR="00E35C67">
        <w:rPr>
          <w:rFonts w:ascii="Times New Roman" w:eastAsia="Calibri" w:hAnsi="Times New Roman"/>
          <w:spacing w:val="0"/>
          <w:sz w:val="30"/>
          <w:szCs w:val="30"/>
        </w:rPr>
        <w:t>ства (за январь-декабрь 2022 г.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– 97,7 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к </w:t>
      </w:r>
      <w:r w:rsidR="00E35C67">
        <w:rPr>
          <w:rFonts w:ascii="Times New Roman" w:eastAsia="Calibri" w:hAnsi="Times New Roman"/>
          <w:spacing w:val="0"/>
          <w:sz w:val="30"/>
          <w:szCs w:val="30"/>
        </w:rPr>
        <w:br/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>2021 году) и бюджетной сферы</w:t>
      </w:r>
      <w:r w:rsidR="00E35C67">
        <w:rPr>
          <w:rFonts w:ascii="Times New Roman" w:eastAsia="Calibri" w:hAnsi="Times New Roman"/>
          <w:spacing w:val="0"/>
          <w:sz w:val="30"/>
          <w:szCs w:val="30"/>
        </w:rPr>
        <w:t xml:space="preserve"> (за январь-декабрь 2022 г.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– 97,4 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к </w:t>
      </w:r>
      <w:r w:rsidR="00E35C67">
        <w:rPr>
          <w:rFonts w:ascii="Times New Roman" w:eastAsia="Calibri" w:hAnsi="Times New Roman"/>
          <w:spacing w:val="0"/>
          <w:sz w:val="30"/>
          <w:szCs w:val="30"/>
        </w:rPr>
        <w:br/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>2021 году).</w:t>
      </w:r>
    </w:p>
    <w:sectPr w:rsidR="00112B26" w:rsidRPr="00112B26" w:rsidSect="00C44E88">
      <w:headerReference w:type="even" r:id="rId7"/>
      <w:headerReference w:type="default" r:id="rId8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1EAD" w14:textId="77777777" w:rsidR="00CD4144" w:rsidRDefault="00CD4144">
      <w:r>
        <w:separator/>
      </w:r>
    </w:p>
  </w:endnote>
  <w:endnote w:type="continuationSeparator" w:id="0">
    <w:p w14:paraId="40C6BC0A" w14:textId="77777777" w:rsidR="00CD4144" w:rsidRDefault="00CD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D752" w14:textId="77777777" w:rsidR="00CD4144" w:rsidRDefault="00CD4144">
      <w:r>
        <w:separator/>
      </w:r>
    </w:p>
  </w:footnote>
  <w:footnote w:type="continuationSeparator" w:id="0">
    <w:p w14:paraId="636E2BAC" w14:textId="77777777" w:rsidR="00CD4144" w:rsidRDefault="00CD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8651" w14:textId="77777777" w:rsidR="00087224" w:rsidRDefault="00087224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14:paraId="0371BD1A" w14:textId="77777777"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AB3F" w14:textId="77777777" w:rsidR="00087224" w:rsidRPr="00DD029F" w:rsidRDefault="00087224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E35C67">
      <w:rPr>
        <w:rStyle w:val="aff6"/>
        <w:rFonts w:ascii="Times New Roman" w:hAnsi="Times New Roman"/>
        <w:noProof/>
        <w:sz w:val="28"/>
        <w:szCs w:val="28"/>
      </w:rPr>
      <w:t>2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14:paraId="1F314430" w14:textId="77777777" w:rsidR="00087224" w:rsidRDefault="00087224">
    <w:pPr>
      <w:pStyle w:val="af9"/>
    </w:pPr>
  </w:p>
  <w:p w14:paraId="4011B709" w14:textId="77777777" w:rsidR="0047350E" w:rsidRDefault="0047350E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 w15:restartNumberingAfterBreak="0">
    <w:nsid w:val="399A78D5"/>
    <w:multiLevelType w:val="hybridMultilevel"/>
    <w:tmpl w:val="9A42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30464"/>
    <w:multiLevelType w:val="hybridMultilevel"/>
    <w:tmpl w:val="60C02FCE"/>
    <w:lvl w:ilvl="0" w:tplc="BEB0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3662D3"/>
    <w:multiLevelType w:val="hybridMultilevel"/>
    <w:tmpl w:val="08261870"/>
    <w:lvl w:ilvl="0" w:tplc="D4F8AD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15" w15:restartNumberingAfterBreak="0">
    <w:nsid w:val="70F10AF1"/>
    <w:multiLevelType w:val="hybridMultilevel"/>
    <w:tmpl w:val="D546655C"/>
    <w:lvl w:ilvl="0" w:tplc="64B4D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E85905"/>
    <w:multiLevelType w:val="hybridMultilevel"/>
    <w:tmpl w:val="25F48530"/>
    <w:lvl w:ilvl="0" w:tplc="065E8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6546277">
    <w:abstractNumId w:val="9"/>
  </w:num>
  <w:num w:numId="2" w16cid:durableId="1326589764">
    <w:abstractNumId w:val="8"/>
  </w:num>
  <w:num w:numId="3" w16cid:durableId="232545240">
    <w:abstractNumId w:val="10"/>
  </w:num>
  <w:num w:numId="4" w16cid:durableId="640185236">
    <w:abstractNumId w:val="14"/>
  </w:num>
  <w:num w:numId="5" w16cid:durableId="1349527350">
    <w:abstractNumId w:val="7"/>
  </w:num>
  <w:num w:numId="6" w16cid:durableId="407120541">
    <w:abstractNumId w:val="6"/>
  </w:num>
  <w:num w:numId="7" w16cid:durableId="1861511261">
    <w:abstractNumId w:val="5"/>
  </w:num>
  <w:num w:numId="8" w16cid:durableId="162667389">
    <w:abstractNumId w:val="4"/>
  </w:num>
  <w:num w:numId="9" w16cid:durableId="830948096">
    <w:abstractNumId w:val="3"/>
  </w:num>
  <w:num w:numId="10" w16cid:durableId="172111511">
    <w:abstractNumId w:val="2"/>
  </w:num>
  <w:num w:numId="11" w16cid:durableId="1910194309">
    <w:abstractNumId w:val="1"/>
  </w:num>
  <w:num w:numId="12" w16cid:durableId="712849098">
    <w:abstractNumId w:val="0"/>
  </w:num>
  <w:num w:numId="13" w16cid:durableId="3171955">
    <w:abstractNumId w:val="10"/>
  </w:num>
  <w:num w:numId="14" w16cid:durableId="355616105">
    <w:abstractNumId w:val="16"/>
  </w:num>
  <w:num w:numId="15" w16cid:durableId="1645886928">
    <w:abstractNumId w:val="13"/>
  </w:num>
  <w:num w:numId="16" w16cid:durableId="795418178">
    <w:abstractNumId w:val="15"/>
  </w:num>
  <w:num w:numId="17" w16cid:durableId="832452877">
    <w:abstractNumId w:val="12"/>
  </w:num>
  <w:num w:numId="18" w16cid:durableId="1569638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E9"/>
    <w:rsid w:val="000060B8"/>
    <w:rsid w:val="00012107"/>
    <w:rsid w:val="00012FB4"/>
    <w:rsid w:val="00022058"/>
    <w:rsid w:val="00037B94"/>
    <w:rsid w:val="000511F8"/>
    <w:rsid w:val="00057B6F"/>
    <w:rsid w:val="00063884"/>
    <w:rsid w:val="00063B71"/>
    <w:rsid w:val="00063DA8"/>
    <w:rsid w:val="00063F47"/>
    <w:rsid w:val="00064109"/>
    <w:rsid w:val="000649A5"/>
    <w:rsid w:val="000736CF"/>
    <w:rsid w:val="000768D3"/>
    <w:rsid w:val="00076B1F"/>
    <w:rsid w:val="00080502"/>
    <w:rsid w:val="00080E4B"/>
    <w:rsid w:val="000829AE"/>
    <w:rsid w:val="00087224"/>
    <w:rsid w:val="00093629"/>
    <w:rsid w:val="00097CCE"/>
    <w:rsid w:val="000B02EE"/>
    <w:rsid w:val="000B074B"/>
    <w:rsid w:val="000C03EF"/>
    <w:rsid w:val="000C1DFE"/>
    <w:rsid w:val="000C6401"/>
    <w:rsid w:val="000D2F7F"/>
    <w:rsid w:val="000D56BD"/>
    <w:rsid w:val="000E30C5"/>
    <w:rsid w:val="000E3561"/>
    <w:rsid w:val="000F5F3A"/>
    <w:rsid w:val="000F76AF"/>
    <w:rsid w:val="00100254"/>
    <w:rsid w:val="00103669"/>
    <w:rsid w:val="00111F4B"/>
    <w:rsid w:val="00112B26"/>
    <w:rsid w:val="00117D9D"/>
    <w:rsid w:val="00124BD8"/>
    <w:rsid w:val="00127D6C"/>
    <w:rsid w:val="00127D73"/>
    <w:rsid w:val="00133B9B"/>
    <w:rsid w:val="00136F98"/>
    <w:rsid w:val="00142835"/>
    <w:rsid w:val="00147563"/>
    <w:rsid w:val="00157963"/>
    <w:rsid w:val="00166944"/>
    <w:rsid w:val="00172551"/>
    <w:rsid w:val="001921FF"/>
    <w:rsid w:val="001B2F71"/>
    <w:rsid w:val="001C1D29"/>
    <w:rsid w:val="001C4F47"/>
    <w:rsid w:val="001F2078"/>
    <w:rsid w:val="00205390"/>
    <w:rsid w:val="002100DB"/>
    <w:rsid w:val="0021495F"/>
    <w:rsid w:val="00232469"/>
    <w:rsid w:val="0023352A"/>
    <w:rsid w:val="00236A1D"/>
    <w:rsid w:val="00250512"/>
    <w:rsid w:val="00254281"/>
    <w:rsid w:val="002612FE"/>
    <w:rsid w:val="00261FCF"/>
    <w:rsid w:val="00272D4D"/>
    <w:rsid w:val="00281C28"/>
    <w:rsid w:val="002866A4"/>
    <w:rsid w:val="00293A91"/>
    <w:rsid w:val="00295362"/>
    <w:rsid w:val="00297EA9"/>
    <w:rsid w:val="002A27E0"/>
    <w:rsid w:val="002A4034"/>
    <w:rsid w:val="002D26B2"/>
    <w:rsid w:val="002F277B"/>
    <w:rsid w:val="002F27F9"/>
    <w:rsid w:val="002F6C98"/>
    <w:rsid w:val="00306376"/>
    <w:rsid w:val="00327433"/>
    <w:rsid w:val="003443B1"/>
    <w:rsid w:val="0034532E"/>
    <w:rsid w:val="00345940"/>
    <w:rsid w:val="00360920"/>
    <w:rsid w:val="00380DDC"/>
    <w:rsid w:val="003B0AFD"/>
    <w:rsid w:val="003C4FE6"/>
    <w:rsid w:val="003D2FFC"/>
    <w:rsid w:val="003D529A"/>
    <w:rsid w:val="003E1FA6"/>
    <w:rsid w:val="003E5150"/>
    <w:rsid w:val="003E59E1"/>
    <w:rsid w:val="00400650"/>
    <w:rsid w:val="00405750"/>
    <w:rsid w:val="00405C93"/>
    <w:rsid w:val="0041280C"/>
    <w:rsid w:val="00416E13"/>
    <w:rsid w:val="00426E37"/>
    <w:rsid w:val="00432AEE"/>
    <w:rsid w:val="00440A7A"/>
    <w:rsid w:val="00442C8C"/>
    <w:rsid w:val="00444275"/>
    <w:rsid w:val="00454880"/>
    <w:rsid w:val="0047350E"/>
    <w:rsid w:val="00483D3A"/>
    <w:rsid w:val="004A1530"/>
    <w:rsid w:val="004A1DB9"/>
    <w:rsid w:val="004A4890"/>
    <w:rsid w:val="004B2B9D"/>
    <w:rsid w:val="004B5162"/>
    <w:rsid w:val="00501B8F"/>
    <w:rsid w:val="005030E7"/>
    <w:rsid w:val="005127D1"/>
    <w:rsid w:val="00516256"/>
    <w:rsid w:val="005207C3"/>
    <w:rsid w:val="0053152B"/>
    <w:rsid w:val="00544206"/>
    <w:rsid w:val="00544FC1"/>
    <w:rsid w:val="00562540"/>
    <w:rsid w:val="00563B57"/>
    <w:rsid w:val="00564D6E"/>
    <w:rsid w:val="005676DD"/>
    <w:rsid w:val="00582089"/>
    <w:rsid w:val="00597295"/>
    <w:rsid w:val="005C6AC8"/>
    <w:rsid w:val="005E0C72"/>
    <w:rsid w:val="005E35E8"/>
    <w:rsid w:val="005E48C8"/>
    <w:rsid w:val="005E50B7"/>
    <w:rsid w:val="00603C7F"/>
    <w:rsid w:val="006061B2"/>
    <w:rsid w:val="006063F2"/>
    <w:rsid w:val="00606C12"/>
    <w:rsid w:val="0061224D"/>
    <w:rsid w:val="006123B6"/>
    <w:rsid w:val="006131E7"/>
    <w:rsid w:val="0061713E"/>
    <w:rsid w:val="00631740"/>
    <w:rsid w:val="00641861"/>
    <w:rsid w:val="00643C20"/>
    <w:rsid w:val="00645218"/>
    <w:rsid w:val="00645B88"/>
    <w:rsid w:val="006833C0"/>
    <w:rsid w:val="006A1E7C"/>
    <w:rsid w:val="006B5A73"/>
    <w:rsid w:val="006E1197"/>
    <w:rsid w:val="006E164F"/>
    <w:rsid w:val="0072584E"/>
    <w:rsid w:val="00733E31"/>
    <w:rsid w:val="00736299"/>
    <w:rsid w:val="00736540"/>
    <w:rsid w:val="00756609"/>
    <w:rsid w:val="007662EC"/>
    <w:rsid w:val="00793F26"/>
    <w:rsid w:val="00796C7F"/>
    <w:rsid w:val="007A08B2"/>
    <w:rsid w:val="007B08D7"/>
    <w:rsid w:val="007B09FF"/>
    <w:rsid w:val="007B44BC"/>
    <w:rsid w:val="007B6020"/>
    <w:rsid w:val="007B6333"/>
    <w:rsid w:val="007C1AE2"/>
    <w:rsid w:val="007C453D"/>
    <w:rsid w:val="007C6FFE"/>
    <w:rsid w:val="007E02AC"/>
    <w:rsid w:val="007E1B9F"/>
    <w:rsid w:val="007E4885"/>
    <w:rsid w:val="007E5149"/>
    <w:rsid w:val="0080248A"/>
    <w:rsid w:val="008167A6"/>
    <w:rsid w:val="008207B0"/>
    <w:rsid w:val="008334A8"/>
    <w:rsid w:val="00860CE2"/>
    <w:rsid w:val="008641AA"/>
    <w:rsid w:val="00864367"/>
    <w:rsid w:val="008679C0"/>
    <w:rsid w:val="00871479"/>
    <w:rsid w:val="00881D93"/>
    <w:rsid w:val="00885DC6"/>
    <w:rsid w:val="008968A3"/>
    <w:rsid w:val="008A477C"/>
    <w:rsid w:val="008C0E75"/>
    <w:rsid w:val="008C7ECE"/>
    <w:rsid w:val="008D12F9"/>
    <w:rsid w:val="008E54DA"/>
    <w:rsid w:val="008F4908"/>
    <w:rsid w:val="00911E61"/>
    <w:rsid w:val="00921799"/>
    <w:rsid w:val="00923DA3"/>
    <w:rsid w:val="009361E4"/>
    <w:rsid w:val="009409D3"/>
    <w:rsid w:val="00942CE2"/>
    <w:rsid w:val="00942F32"/>
    <w:rsid w:val="00944393"/>
    <w:rsid w:val="00957E44"/>
    <w:rsid w:val="00961999"/>
    <w:rsid w:val="00974C6F"/>
    <w:rsid w:val="00982C9F"/>
    <w:rsid w:val="00984807"/>
    <w:rsid w:val="009854AE"/>
    <w:rsid w:val="009A2001"/>
    <w:rsid w:val="009A53A7"/>
    <w:rsid w:val="009C30ED"/>
    <w:rsid w:val="009C5E87"/>
    <w:rsid w:val="009D6735"/>
    <w:rsid w:val="009E25E8"/>
    <w:rsid w:val="009E35E8"/>
    <w:rsid w:val="009E46A5"/>
    <w:rsid w:val="009F03F8"/>
    <w:rsid w:val="009F2B25"/>
    <w:rsid w:val="009F3EA0"/>
    <w:rsid w:val="009F5B54"/>
    <w:rsid w:val="00A0082A"/>
    <w:rsid w:val="00A028CE"/>
    <w:rsid w:val="00A06C4F"/>
    <w:rsid w:val="00A161A3"/>
    <w:rsid w:val="00A16A33"/>
    <w:rsid w:val="00A241C2"/>
    <w:rsid w:val="00A351BA"/>
    <w:rsid w:val="00A37E4C"/>
    <w:rsid w:val="00A44A1E"/>
    <w:rsid w:val="00A554A8"/>
    <w:rsid w:val="00A629DC"/>
    <w:rsid w:val="00AA198A"/>
    <w:rsid w:val="00AA2004"/>
    <w:rsid w:val="00AA603E"/>
    <w:rsid w:val="00AA6892"/>
    <w:rsid w:val="00AB2839"/>
    <w:rsid w:val="00AB4103"/>
    <w:rsid w:val="00AD0EE5"/>
    <w:rsid w:val="00AD5659"/>
    <w:rsid w:val="00AE05D7"/>
    <w:rsid w:val="00AE0940"/>
    <w:rsid w:val="00AE38B4"/>
    <w:rsid w:val="00AF061B"/>
    <w:rsid w:val="00B11810"/>
    <w:rsid w:val="00B25467"/>
    <w:rsid w:val="00B2719D"/>
    <w:rsid w:val="00B3029E"/>
    <w:rsid w:val="00B31085"/>
    <w:rsid w:val="00B62A36"/>
    <w:rsid w:val="00B717B9"/>
    <w:rsid w:val="00B73173"/>
    <w:rsid w:val="00B76AB8"/>
    <w:rsid w:val="00B8062B"/>
    <w:rsid w:val="00B86385"/>
    <w:rsid w:val="00B90EFE"/>
    <w:rsid w:val="00B911EF"/>
    <w:rsid w:val="00B922C9"/>
    <w:rsid w:val="00B935A8"/>
    <w:rsid w:val="00BA007D"/>
    <w:rsid w:val="00BA60E4"/>
    <w:rsid w:val="00BB12B6"/>
    <w:rsid w:val="00BB7EE9"/>
    <w:rsid w:val="00BC2C57"/>
    <w:rsid w:val="00BC4646"/>
    <w:rsid w:val="00BE3A17"/>
    <w:rsid w:val="00BF37CE"/>
    <w:rsid w:val="00BF4F06"/>
    <w:rsid w:val="00C01F22"/>
    <w:rsid w:val="00C03572"/>
    <w:rsid w:val="00C0517B"/>
    <w:rsid w:val="00C13082"/>
    <w:rsid w:val="00C131DB"/>
    <w:rsid w:val="00C17B9C"/>
    <w:rsid w:val="00C23595"/>
    <w:rsid w:val="00C26507"/>
    <w:rsid w:val="00C36C2B"/>
    <w:rsid w:val="00C4290C"/>
    <w:rsid w:val="00C44E88"/>
    <w:rsid w:val="00C604C4"/>
    <w:rsid w:val="00C64D06"/>
    <w:rsid w:val="00C713CD"/>
    <w:rsid w:val="00C73A7F"/>
    <w:rsid w:val="00C826AE"/>
    <w:rsid w:val="00C8407E"/>
    <w:rsid w:val="00C84398"/>
    <w:rsid w:val="00CA10CE"/>
    <w:rsid w:val="00CB63BB"/>
    <w:rsid w:val="00CD1573"/>
    <w:rsid w:val="00CD1834"/>
    <w:rsid w:val="00CD4144"/>
    <w:rsid w:val="00CD4BE0"/>
    <w:rsid w:val="00CE20D4"/>
    <w:rsid w:val="00CE2A2A"/>
    <w:rsid w:val="00CE6753"/>
    <w:rsid w:val="00CF3330"/>
    <w:rsid w:val="00D00DD8"/>
    <w:rsid w:val="00D1160C"/>
    <w:rsid w:val="00D14A07"/>
    <w:rsid w:val="00D15837"/>
    <w:rsid w:val="00D16AE6"/>
    <w:rsid w:val="00D21331"/>
    <w:rsid w:val="00D26A3A"/>
    <w:rsid w:val="00D52FB6"/>
    <w:rsid w:val="00D65984"/>
    <w:rsid w:val="00D8009A"/>
    <w:rsid w:val="00D81FF5"/>
    <w:rsid w:val="00D93810"/>
    <w:rsid w:val="00DD029F"/>
    <w:rsid w:val="00DE124F"/>
    <w:rsid w:val="00DF49AB"/>
    <w:rsid w:val="00E02775"/>
    <w:rsid w:val="00E07E1F"/>
    <w:rsid w:val="00E15BCD"/>
    <w:rsid w:val="00E16117"/>
    <w:rsid w:val="00E35C67"/>
    <w:rsid w:val="00E37C33"/>
    <w:rsid w:val="00E4303B"/>
    <w:rsid w:val="00E44308"/>
    <w:rsid w:val="00E45095"/>
    <w:rsid w:val="00E45C33"/>
    <w:rsid w:val="00E52188"/>
    <w:rsid w:val="00E61C3D"/>
    <w:rsid w:val="00E63254"/>
    <w:rsid w:val="00E6546E"/>
    <w:rsid w:val="00E855A8"/>
    <w:rsid w:val="00E90203"/>
    <w:rsid w:val="00E91B47"/>
    <w:rsid w:val="00E92BFC"/>
    <w:rsid w:val="00E93C8C"/>
    <w:rsid w:val="00EA2335"/>
    <w:rsid w:val="00EA5B32"/>
    <w:rsid w:val="00EA79C4"/>
    <w:rsid w:val="00EA7A09"/>
    <w:rsid w:val="00EB1EBC"/>
    <w:rsid w:val="00EB3727"/>
    <w:rsid w:val="00EB77DB"/>
    <w:rsid w:val="00EC0E03"/>
    <w:rsid w:val="00EC68B2"/>
    <w:rsid w:val="00EF2B4E"/>
    <w:rsid w:val="00F1026A"/>
    <w:rsid w:val="00F131B5"/>
    <w:rsid w:val="00F2033F"/>
    <w:rsid w:val="00F223B5"/>
    <w:rsid w:val="00F26C4D"/>
    <w:rsid w:val="00F365E1"/>
    <w:rsid w:val="00F43F98"/>
    <w:rsid w:val="00F511B1"/>
    <w:rsid w:val="00F72B8B"/>
    <w:rsid w:val="00F814C5"/>
    <w:rsid w:val="00FB51AD"/>
    <w:rsid w:val="00FD0C27"/>
    <w:rsid w:val="00FD5CCC"/>
    <w:rsid w:val="00FD6498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A9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uiPriority w:val="99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Balloon Text"/>
    <w:basedOn w:val="a1"/>
    <w:link w:val="afffc"/>
    <w:rsid w:val="00FD5CCC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d">
    <w:name w:val="No Spacing"/>
    <w:uiPriority w:val="99"/>
    <w:qFormat/>
    <w:rsid w:val="008679C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679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itleu">
    <w:name w:val="titleu"/>
    <w:basedOn w:val="a1"/>
    <w:uiPriority w:val="99"/>
    <w:rsid w:val="008679C0"/>
    <w:pPr>
      <w:spacing w:before="360" w:after="360"/>
      <w:jc w:val="left"/>
    </w:pPr>
    <w:rPr>
      <w:rFonts w:ascii="Times New Roman" w:hAnsi="Times New Roman"/>
      <w:b/>
      <w:bCs/>
      <w:spacing w:val="0"/>
      <w:sz w:val="24"/>
      <w:szCs w:val="24"/>
      <w:lang w:eastAsia="ru-RU"/>
    </w:rPr>
  </w:style>
  <w:style w:type="paragraph" w:styleId="afffe">
    <w:name w:val="List Paragraph"/>
    <w:basedOn w:val="a1"/>
    <w:uiPriority w:val="34"/>
    <w:qFormat/>
    <w:rsid w:val="0059729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word-wrapper">
    <w:name w:val="word-wrapper"/>
    <w:rsid w:val="009F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boyarchuk\AppData\Local\SMBusiness\Files\844019_copies\&#1041;&#1083;&#1072;&#1085;&#1082;%20&#1087;&#1080;&#1089;&#1100;&#1084;&#1072;%20&#1086;&#1073;&#1083;&#1080;&#1089;&#1087;&#1086;&#1083;&#1082;&#1086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облисполкома</Template>
  <TotalTime>0</TotalTime>
  <Pages>5</Pages>
  <Words>1417</Words>
  <Characters>8080</Characters>
  <Application>Microsoft Office Word</Application>
  <DocSecurity>0</DocSecurity>
  <PresentationFormat/>
  <Lines>67</Lines>
  <Paragraphs>18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9479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1900-12-31T21:00:00Z</cp:lastPrinted>
  <dcterms:created xsi:type="dcterms:W3CDTF">2023-02-16T07:24:00Z</dcterms:created>
  <dcterms:modified xsi:type="dcterms:W3CDTF">2023-02-16T07:24:00Z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